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60" w:rsidRPr="005179B3" w:rsidRDefault="00EF645E" w:rsidP="008D3B60">
      <w:pPr>
        <w:pStyle w:val="berschrift1"/>
        <w:spacing w:before="160" w:after="320"/>
        <w:rPr>
          <w:lang w:val="fr-CH"/>
        </w:rPr>
      </w:pPr>
      <w:bookmarkStart w:id="0" w:name="_GoBack"/>
      <w:bookmarkEnd w:id="0"/>
      <w:r w:rsidRPr="005179B3">
        <w:rPr>
          <w:lang w:val="fr-CH"/>
        </w:rPr>
        <w:t>Blocs de texte «Points de rencontre d'urgence» pour contrat de prestations OPC</w:t>
      </w:r>
    </w:p>
    <w:p w:rsidR="008D3B60" w:rsidRPr="005179B3" w:rsidRDefault="00EF645E" w:rsidP="008D3B60">
      <w:pPr>
        <w:pStyle w:val="Text85pt"/>
        <w:rPr>
          <w:lang w:val="fr-CH"/>
        </w:rPr>
      </w:pPr>
      <w:r w:rsidRPr="005179B3">
        <w:rPr>
          <w:lang w:val="fr-CH"/>
        </w:rPr>
        <w:t xml:space="preserve">La mise </w:t>
      </w:r>
      <w:r>
        <w:rPr>
          <w:lang w:val="fr-CH"/>
        </w:rPr>
        <w:t>sur pied</w:t>
      </w:r>
      <w:r w:rsidRPr="005179B3">
        <w:rPr>
          <w:lang w:val="fr-CH"/>
        </w:rPr>
        <w:t xml:space="preserve"> de points de rencontre d'urgence (PRU) dans le canton de Berne </w:t>
      </w:r>
      <w:r>
        <w:rPr>
          <w:lang w:val="fr-CH"/>
        </w:rPr>
        <w:t>génère</w:t>
      </w:r>
      <w:r w:rsidRPr="005179B3">
        <w:rPr>
          <w:lang w:val="fr-CH"/>
        </w:rPr>
        <w:t xml:space="preserve"> des activités supplémentaires pour les or</w:t>
      </w:r>
      <w:r w:rsidRPr="005179B3">
        <w:rPr>
          <w:lang w:val="fr-CH"/>
        </w:rPr>
        <w:t xml:space="preserve">ganisations de protection civile (OPC). Ci-après, vous trouverez des </w:t>
      </w:r>
      <w:r w:rsidRPr="005179B3">
        <w:rPr>
          <w:b/>
          <w:lang w:val="fr-CH"/>
        </w:rPr>
        <w:t>propositions de formulation</w:t>
      </w:r>
      <w:r w:rsidRPr="005179B3">
        <w:rPr>
          <w:lang w:val="fr-CH"/>
        </w:rPr>
        <w:t xml:space="preserve"> en vue de </w:t>
      </w:r>
      <w:r w:rsidRPr="005179B3">
        <w:rPr>
          <w:b/>
          <w:lang w:val="fr-CH"/>
        </w:rPr>
        <w:t>compléter</w:t>
      </w:r>
      <w:r w:rsidRPr="005179B3">
        <w:rPr>
          <w:lang w:val="fr-CH"/>
        </w:rPr>
        <w:t xml:space="preserve"> le mandat de prestations. Vous êtes libre d'en faire usage. Afin que les commandants de la protection civile disposent d'un </w:t>
      </w:r>
      <w:r>
        <w:rPr>
          <w:lang w:val="fr-CH"/>
        </w:rPr>
        <w:t>fond</w:t>
      </w:r>
      <w:r>
        <w:rPr>
          <w:lang w:val="fr-CH"/>
        </w:rPr>
        <w:t>e</w:t>
      </w:r>
      <w:r>
        <w:rPr>
          <w:lang w:val="fr-CH"/>
        </w:rPr>
        <w:t xml:space="preserve">ment pour </w:t>
      </w:r>
      <w:r>
        <w:rPr>
          <w:lang w:val="fr-CH"/>
        </w:rPr>
        <w:t>la réalisation des</w:t>
      </w:r>
      <w:r w:rsidRPr="005179B3">
        <w:rPr>
          <w:lang w:val="fr-CH"/>
        </w:rPr>
        <w:t xml:space="preserve"> tâches supplémentaires, nous vous recommandons </w:t>
      </w:r>
      <w:r>
        <w:rPr>
          <w:lang w:val="fr-CH"/>
        </w:rPr>
        <w:t xml:space="preserve">d'intégrer </w:t>
      </w:r>
      <w:r w:rsidRPr="005179B3">
        <w:rPr>
          <w:lang w:val="fr-CH"/>
        </w:rPr>
        <w:t xml:space="preserve">les éléments ci-dessous dans </w:t>
      </w:r>
      <w:r>
        <w:rPr>
          <w:lang w:val="fr-CH"/>
        </w:rPr>
        <w:t xml:space="preserve">le cadre de l'élaboration du plan </w:t>
      </w:r>
      <w:r w:rsidRPr="005179B3">
        <w:rPr>
          <w:lang w:val="fr-CH"/>
        </w:rPr>
        <w:t>de fonctionnement PRU, en tenant compte du recul des effectifs et des spécificités locales.</w:t>
      </w:r>
    </w:p>
    <w:p w:rsidR="008D3B60" w:rsidRPr="005179B3" w:rsidRDefault="00EF645E" w:rsidP="008D3B60">
      <w:pPr>
        <w:pStyle w:val="Text85pt"/>
        <w:rPr>
          <w:lang w:val="fr-CH"/>
        </w:rPr>
      </w:pPr>
    </w:p>
    <w:p w:rsidR="008D3B60" w:rsidRPr="005179B3" w:rsidRDefault="00EF645E" w:rsidP="008D3B60">
      <w:pPr>
        <w:pStyle w:val="Text85pt"/>
        <w:rPr>
          <w:lang w:val="fr-CH"/>
        </w:rPr>
      </w:pPr>
      <w:r w:rsidRPr="005179B3">
        <w:rPr>
          <w:lang w:val="fr-CH"/>
        </w:rPr>
        <w:t>La structure ci-après s</w:t>
      </w:r>
      <w:r w:rsidRPr="005179B3">
        <w:rPr>
          <w:lang w:val="fr-CH"/>
        </w:rPr>
        <w:t>'inspire de planifications usuelles.</w:t>
      </w:r>
    </w:p>
    <w:p w:rsidR="008D3B60" w:rsidRPr="005179B3" w:rsidRDefault="00EF645E" w:rsidP="008D3B60">
      <w:pPr>
        <w:pStyle w:val="Text85pt"/>
        <w:rPr>
          <w:lang w:val="fr-CH"/>
        </w:rPr>
      </w:pPr>
    </w:p>
    <w:p w:rsidR="008D3B60" w:rsidRPr="005179B3" w:rsidRDefault="00EF645E" w:rsidP="008D3B60">
      <w:pPr>
        <w:pStyle w:val="H1"/>
        <w:spacing w:before="120" w:after="120" w:line="0" w:lineRule="atLeast"/>
        <w:ind w:left="284" w:hanging="284"/>
        <w:rPr>
          <w:lang w:val="fr-CH"/>
        </w:rPr>
      </w:pPr>
      <w:r w:rsidRPr="005179B3">
        <w:rPr>
          <w:lang w:val="fr-CH"/>
        </w:rPr>
        <w:t>Domaine de compétence</w:t>
      </w:r>
    </w:p>
    <w:p w:rsidR="008D3B60" w:rsidRPr="005179B3" w:rsidRDefault="00EF645E" w:rsidP="008D3B60">
      <w:pPr>
        <w:pStyle w:val="Text85pt"/>
        <w:rPr>
          <w:lang w:val="fr-CH"/>
        </w:rPr>
      </w:pPr>
      <w:r w:rsidRPr="005179B3">
        <w:rPr>
          <w:i/>
          <w:lang w:val="fr-CH"/>
        </w:rPr>
        <w:t>Pas d'ajouts</w:t>
      </w:r>
    </w:p>
    <w:p w:rsidR="008D3B60" w:rsidRPr="005179B3" w:rsidRDefault="00EF645E" w:rsidP="008D3B60">
      <w:pPr>
        <w:pStyle w:val="Text85pt"/>
        <w:rPr>
          <w:lang w:val="fr-CH"/>
        </w:rPr>
      </w:pPr>
    </w:p>
    <w:p w:rsidR="008D3B60" w:rsidRPr="005179B3" w:rsidRDefault="00EF645E" w:rsidP="008D3B60">
      <w:pPr>
        <w:pStyle w:val="H1"/>
        <w:spacing w:before="120" w:after="120" w:line="0" w:lineRule="atLeast"/>
        <w:ind w:left="284" w:hanging="284"/>
        <w:rPr>
          <w:lang w:val="fr-CH"/>
        </w:rPr>
      </w:pPr>
      <w:r w:rsidRPr="005179B3">
        <w:rPr>
          <w:lang w:val="fr-CH"/>
        </w:rPr>
        <w:t>Bases (légales)</w:t>
      </w:r>
    </w:p>
    <w:p w:rsidR="008D3B60" w:rsidRPr="005179B3" w:rsidRDefault="00EF645E" w:rsidP="008D3B60">
      <w:pPr>
        <w:pStyle w:val="Text85pt"/>
        <w:rPr>
          <w:lang w:val="fr-CH"/>
        </w:rPr>
      </w:pPr>
      <w:r w:rsidRPr="005179B3">
        <w:rPr>
          <w:lang w:val="fr-CH"/>
        </w:rPr>
        <w:t>Bases supplémentaires: planification du 12 mars 2019 relative aux points de rencontre d'urgence dans le canton de Berne (PRU BE)</w:t>
      </w:r>
    </w:p>
    <w:p w:rsidR="008D3B60" w:rsidRPr="005179B3" w:rsidRDefault="00EF645E" w:rsidP="008D3B60">
      <w:pPr>
        <w:pStyle w:val="Text85pt"/>
        <w:rPr>
          <w:lang w:val="fr-CH"/>
        </w:rPr>
      </w:pPr>
    </w:p>
    <w:p w:rsidR="008D3B60" w:rsidRPr="005179B3" w:rsidRDefault="00EF645E" w:rsidP="008D3B60">
      <w:pPr>
        <w:pStyle w:val="H1"/>
        <w:spacing w:before="120" w:after="120" w:line="0" w:lineRule="atLeast"/>
        <w:ind w:left="284" w:hanging="284"/>
        <w:rPr>
          <w:lang w:val="fr-CH"/>
        </w:rPr>
      </w:pPr>
      <w:r w:rsidRPr="005179B3">
        <w:rPr>
          <w:lang w:val="fr-CH"/>
        </w:rPr>
        <w:t>Objet du mandat et produits</w:t>
      </w:r>
    </w:p>
    <w:p w:rsidR="008D3B60" w:rsidRPr="005179B3" w:rsidRDefault="00EF645E" w:rsidP="008D3B60">
      <w:pPr>
        <w:pStyle w:val="Text85pt"/>
        <w:numPr>
          <w:ilvl w:val="0"/>
          <w:numId w:val="32"/>
        </w:numPr>
        <w:rPr>
          <w:lang w:val="fr-CH"/>
        </w:rPr>
      </w:pPr>
      <w:r w:rsidRPr="005179B3">
        <w:rPr>
          <w:lang w:val="fr-CH"/>
        </w:rPr>
        <w:t>Collabor</w:t>
      </w:r>
      <w:r w:rsidRPr="005179B3">
        <w:rPr>
          <w:lang w:val="fr-CH"/>
        </w:rPr>
        <w:t>ation avec les communes en vue de la mise en service de PRU</w:t>
      </w:r>
    </w:p>
    <w:p w:rsidR="008D3B60" w:rsidRPr="005179B3" w:rsidRDefault="00EF645E" w:rsidP="008D3B60">
      <w:pPr>
        <w:pStyle w:val="Text85pt"/>
        <w:rPr>
          <w:lang w:val="fr-CH"/>
        </w:rPr>
      </w:pPr>
    </w:p>
    <w:p w:rsidR="008D3B60" w:rsidRPr="005179B3" w:rsidRDefault="00EF645E" w:rsidP="008D3B60">
      <w:pPr>
        <w:pStyle w:val="H1"/>
        <w:spacing w:before="120" w:after="120" w:line="0" w:lineRule="atLeast"/>
        <w:ind w:left="284" w:hanging="284"/>
        <w:rPr>
          <w:lang w:val="fr-CH"/>
        </w:rPr>
      </w:pPr>
      <w:r w:rsidRPr="005179B3">
        <w:rPr>
          <w:lang w:val="fr-CH"/>
        </w:rPr>
        <w:t>Normes de prestations</w:t>
      </w:r>
    </w:p>
    <w:p w:rsidR="008D3B60" w:rsidRPr="005179B3" w:rsidRDefault="00EF645E" w:rsidP="008D3B60">
      <w:pPr>
        <w:pStyle w:val="Text85pt"/>
        <w:rPr>
          <w:lang w:val="fr-CH"/>
        </w:rPr>
      </w:pPr>
      <w:r w:rsidRPr="005179B3">
        <w:rPr>
          <w:b/>
          <w:lang w:val="fr-CH"/>
        </w:rPr>
        <w:t>4.X Collaboration avec les communes en vue de la mise en service de PRU</w:t>
      </w:r>
    </w:p>
    <w:p w:rsidR="008D3B60" w:rsidRPr="005179B3" w:rsidRDefault="00EF645E" w:rsidP="008D3B60">
      <w:pPr>
        <w:pStyle w:val="Text85pt"/>
        <w:rPr>
          <w:lang w:val="fr-CH"/>
        </w:rPr>
      </w:pPr>
    </w:p>
    <w:p w:rsidR="008D3B60" w:rsidRPr="005179B3" w:rsidRDefault="00EF645E" w:rsidP="008D3B60">
      <w:pPr>
        <w:pStyle w:val="Text85pt"/>
        <w:rPr>
          <w:lang w:val="fr-CH"/>
        </w:rPr>
      </w:pPr>
      <w:r w:rsidRPr="005179B3">
        <w:rPr>
          <w:lang w:val="fr-CH"/>
        </w:rPr>
        <w:t>L'OPC apporte son concours à la commune</w:t>
      </w:r>
    </w:p>
    <w:p w:rsidR="008D3B60" w:rsidRPr="005179B3" w:rsidRDefault="00EF645E" w:rsidP="008D3B60">
      <w:pPr>
        <w:pStyle w:val="Listenabsatz"/>
        <w:numPr>
          <w:ilvl w:val="0"/>
          <w:numId w:val="32"/>
        </w:numPr>
        <w:rPr>
          <w:sz w:val="17"/>
          <w:lang w:val="fr-CH"/>
        </w:rPr>
      </w:pPr>
      <w:r w:rsidRPr="005179B3">
        <w:rPr>
          <w:sz w:val="17"/>
          <w:lang w:val="fr-CH"/>
        </w:rPr>
        <w:t>pour la planification et la mise en œuvre opérationnelle des</w:t>
      </w:r>
      <w:r w:rsidRPr="005179B3">
        <w:rPr>
          <w:sz w:val="17"/>
          <w:lang w:val="fr-CH"/>
        </w:rPr>
        <w:t xml:space="preserve"> PRU</w:t>
      </w:r>
      <w:r>
        <w:rPr>
          <w:sz w:val="17"/>
          <w:lang w:val="fr-CH"/>
        </w:rPr>
        <w:t>,</w:t>
      </w:r>
    </w:p>
    <w:p w:rsidR="008D3B60" w:rsidRPr="005179B3" w:rsidRDefault="00EF645E" w:rsidP="008D3B60">
      <w:pPr>
        <w:pStyle w:val="Listenabsatz"/>
        <w:numPr>
          <w:ilvl w:val="0"/>
          <w:numId w:val="32"/>
        </w:numPr>
        <w:rPr>
          <w:sz w:val="17"/>
          <w:lang w:val="fr-CH"/>
        </w:rPr>
      </w:pPr>
      <w:r w:rsidRPr="005179B3">
        <w:rPr>
          <w:sz w:val="17"/>
          <w:lang w:val="fr-CH"/>
        </w:rPr>
        <w:t>pour l'exploitation d</w:t>
      </w:r>
      <w:r>
        <w:rPr>
          <w:sz w:val="17"/>
          <w:lang w:val="fr-CH"/>
        </w:rPr>
        <w:t>es</w:t>
      </w:r>
      <w:r w:rsidRPr="005179B3">
        <w:rPr>
          <w:sz w:val="17"/>
          <w:lang w:val="fr-CH"/>
        </w:rPr>
        <w:t xml:space="preserve"> PRU en cas d'évènement.</w:t>
      </w:r>
    </w:p>
    <w:p w:rsidR="008D3B60" w:rsidRPr="005179B3" w:rsidRDefault="00EF645E" w:rsidP="008D3B60">
      <w:pPr>
        <w:rPr>
          <w:sz w:val="17"/>
          <w:lang w:val="fr-CH"/>
        </w:rPr>
      </w:pPr>
    </w:p>
    <w:p w:rsidR="008D3B60" w:rsidRPr="005179B3" w:rsidRDefault="00EF645E" w:rsidP="008D3B60">
      <w:pPr>
        <w:pStyle w:val="H1"/>
        <w:spacing w:before="120" w:after="120" w:line="0" w:lineRule="atLeast"/>
        <w:ind w:left="284" w:hanging="284"/>
        <w:rPr>
          <w:lang w:val="fr-CH"/>
        </w:rPr>
      </w:pPr>
      <w:r w:rsidRPr="005179B3">
        <w:rPr>
          <w:lang w:val="fr-CH"/>
        </w:rPr>
        <w:t>Préparatifs en vue de l'aide en cas de catastrophe et de situation d'urgence</w:t>
      </w: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6658B8" w:rsidTr="008D3B60">
        <w:tc>
          <w:tcPr>
            <w:tcW w:w="4803" w:type="dxa"/>
            <w:tcBorders>
              <w:bottom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lang w:val="fr-CH"/>
              </w:rPr>
            </w:pPr>
            <w:r w:rsidRPr="005179B3">
              <w:rPr>
                <w:b/>
                <w:sz w:val="17"/>
                <w:szCs w:val="17"/>
                <w:lang w:val="fr-CH"/>
              </w:rPr>
              <w:t>Prestations</w:t>
            </w:r>
          </w:p>
        </w:tc>
        <w:tc>
          <w:tcPr>
            <w:tcW w:w="4804" w:type="dxa"/>
            <w:tcBorders>
              <w:left w:val="single" w:sz="4" w:space="0" w:color="auto"/>
              <w:bottom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lang w:val="fr-CH"/>
              </w:rPr>
            </w:pPr>
            <w:r w:rsidRPr="005179B3">
              <w:rPr>
                <w:b/>
                <w:sz w:val="17"/>
                <w:szCs w:val="17"/>
                <w:lang w:val="fr-CH"/>
              </w:rPr>
              <w:t>Normes</w:t>
            </w:r>
          </w:p>
        </w:tc>
      </w:tr>
      <w:tr w:rsidR="006658B8" w:rsidTr="008D3B60"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0" w:rsidRPr="005179B3" w:rsidRDefault="00EF645E" w:rsidP="00032A26">
            <w:pPr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Garantir les ressources </w:t>
            </w:r>
            <w:r w:rsidRPr="00032A26">
              <w:rPr>
                <w:b/>
                <w:sz w:val="17"/>
                <w:szCs w:val="17"/>
                <w:lang w:val="fr-CH"/>
              </w:rPr>
              <w:t>humaines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0" w:rsidRPr="005179B3" w:rsidRDefault="00EF645E" w:rsidP="008D3B60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i/>
                <w:sz w:val="17"/>
                <w:szCs w:val="17"/>
                <w:lang w:val="fr-CH"/>
              </w:rPr>
            </w:pPr>
            <w:r w:rsidRPr="005179B3">
              <w:rPr>
                <w:i/>
                <w:sz w:val="17"/>
                <w:szCs w:val="17"/>
                <w:lang w:val="fr-CH"/>
              </w:rPr>
              <w:t>Pas d'ajouts</w:t>
            </w:r>
          </w:p>
        </w:tc>
      </w:tr>
      <w:tr w:rsidR="006658B8" w:rsidTr="008D3B60"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Assurer la </w:t>
            </w:r>
            <w:r w:rsidRPr="005179B3">
              <w:rPr>
                <w:b/>
                <w:sz w:val="17"/>
                <w:szCs w:val="17"/>
                <w:lang w:val="fr-CH"/>
              </w:rPr>
              <w:t>formation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0" w:rsidRPr="005179B3" w:rsidRDefault="00EF645E" w:rsidP="008D3B60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i/>
                <w:sz w:val="17"/>
                <w:szCs w:val="17"/>
                <w:lang w:val="fr-CH"/>
              </w:rPr>
            </w:pPr>
            <w:r w:rsidRPr="005179B3">
              <w:rPr>
                <w:i/>
                <w:sz w:val="17"/>
                <w:szCs w:val="17"/>
                <w:lang w:val="fr-CH"/>
              </w:rPr>
              <w:t>Pas d'ajouts</w:t>
            </w:r>
          </w:p>
        </w:tc>
      </w:tr>
      <w:tr w:rsidR="006658B8" w:rsidRPr="00EF645E" w:rsidTr="008D3B60">
        <w:tc>
          <w:tcPr>
            <w:tcW w:w="4803" w:type="dxa"/>
            <w:tcBorders>
              <w:top w:val="single" w:sz="4" w:space="0" w:color="auto"/>
              <w:right w:val="single" w:sz="4" w:space="0" w:color="auto"/>
            </w:tcBorders>
          </w:tcPr>
          <w:p w:rsidR="008D3B60" w:rsidRPr="005179B3" w:rsidRDefault="00EF645E" w:rsidP="00050919">
            <w:pPr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Assurer </w:t>
            </w:r>
            <w:r>
              <w:rPr>
                <w:b/>
                <w:sz w:val="17"/>
                <w:szCs w:val="17"/>
                <w:lang w:val="fr-CH"/>
              </w:rPr>
              <w:t>l'entreposage,</w:t>
            </w:r>
            <w:r>
              <w:rPr>
                <w:b/>
                <w:sz w:val="17"/>
                <w:szCs w:val="17"/>
                <w:lang w:val="fr-CH"/>
              </w:rPr>
              <w:t xml:space="preserve"> la gestion </w:t>
            </w:r>
            <w:r w:rsidRPr="005179B3">
              <w:rPr>
                <w:b/>
                <w:sz w:val="17"/>
                <w:szCs w:val="17"/>
                <w:lang w:val="fr-CH"/>
              </w:rPr>
              <w:t>et la maintenance</w:t>
            </w:r>
            <w:r w:rsidRPr="005179B3">
              <w:rPr>
                <w:sz w:val="17"/>
                <w:szCs w:val="17"/>
                <w:lang w:val="fr-CH"/>
              </w:rPr>
              <w:t xml:space="preserve"> du matériel attribué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</w:tcBorders>
          </w:tcPr>
          <w:p w:rsidR="008D3B60" w:rsidRPr="005179B3" w:rsidRDefault="00EF645E" w:rsidP="008D3B60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Le matériel doit être </w:t>
            </w:r>
            <w:r>
              <w:rPr>
                <w:sz w:val="17"/>
                <w:szCs w:val="17"/>
                <w:lang w:val="fr-CH"/>
              </w:rPr>
              <w:t>entreposé</w:t>
            </w:r>
            <w:r w:rsidRPr="005179B3">
              <w:rPr>
                <w:sz w:val="17"/>
                <w:szCs w:val="17"/>
                <w:lang w:val="fr-CH"/>
              </w:rPr>
              <w:t xml:space="preserve"> dans le bâtiment où le PRU ser</w:t>
            </w:r>
            <w:r>
              <w:rPr>
                <w:sz w:val="17"/>
                <w:szCs w:val="17"/>
                <w:lang w:val="fr-CH"/>
              </w:rPr>
              <w:t>a</w:t>
            </w:r>
            <w:r w:rsidRPr="005179B3">
              <w:rPr>
                <w:sz w:val="17"/>
                <w:szCs w:val="17"/>
                <w:lang w:val="fr-CH"/>
              </w:rPr>
              <w:t xml:space="preserve"> mis en service</w:t>
            </w:r>
            <w:r>
              <w:rPr>
                <w:sz w:val="17"/>
                <w:szCs w:val="17"/>
                <w:lang w:val="fr-CH"/>
              </w:rPr>
              <w:t>.</w:t>
            </w:r>
          </w:p>
          <w:p w:rsidR="008D3B60" w:rsidRPr="005179B3" w:rsidRDefault="00EF645E" w:rsidP="008D3B60">
            <w:pPr>
              <w:ind w:left="360"/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>OU</w:t>
            </w: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Le matériel doit être </w:t>
            </w:r>
            <w:r>
              <w:rPr>
                <w:sz w:val="17"/>
                <w:szCs w:val="17"/>
                <w:lang w:val="fr-CH"/>
              </w:rPr>
              <w:t>entreposé</w:t>
            </w:r>
            <w:r w:rsidRPr="005179B3">
              <w:rPr>
                <w:sz w:val="17"/>
                <w:szCs w:val="17"/>
                <w:lang w:val="fr-CH"/>
              </w:rPr>
              <w:t xml:space="preserve"> dans la commune où le PRU sera mis en service.</w:t>
            </w:r>
          </w:p>
          <w:p w:rsidR="008D3B60" w:rsidRPr="005179B3" w:rsidRDefault="00EF645E" w:rsidP="008D3B60">
            <w:pPr>
              <w:pStyle w:val="Listenabsatz"/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i/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Le matériel est </w:t>
            </w:r>
            <w:r>
              <w:rPr>
                <w:sz w:val="17"/>
                <w:szCs w:val="17"/>
                <w:lang w:val="fr-CH"/>
              </w:rPr>
              <w:t>géré</w:t>
            </w:r>
            <w:r w:rsidRPr="005179B3">
              <w:rPr>
                <w:sz w:val="17"/>
                <w:szCs w:val="17"/>
                <w:lang w:val="fr-CH"/>
              </w:rPr>
              <w:t xml:space="preserve"> en étroite collaborat</w:t>
            </w:r>
            <w:r w:rsidRPr="005179B3">
              <w:rPr>
                <w:sz w:val="17"/>
                <w:szCs w:val="17"/>
                <w:lang w:val="fr-CH"/>
              </w:rPr>
              <w:t>ion avec les responsables des communes désignés dans le</w:t>
            </w:r>
            <w:r>
              <w:rPr>
                <w:sz w:val="17"/>
                <w:szCs w:val="17"/>
                <w:lang w:val="fr-CH"/>
              </w:rPr>
              <w:t xml:space="preserve"> plan</w:t>
            </w:r>
            <w:r w:rsidRPr="005179B3">
              <w:rPr>
                <w:sz w:val="17"/>
                <w:szCs w:val="17"/>
                <w:lang w:val="fr-CH"/>
              </w:rPr>
              <w:t xml:space="preserve"> de maintenance et d</w:t>
            </w:r>
            <w:r>
              <w:rPr>
                <w:sz w:val="17"/>
                <w:szCs w:val="17"/>
                <w:lang w:val="fr-CH"/>
              </w:rPr>
              <w:t>e fonctionnement</w:t>
            </w:r>
            <w:r w:rsidRPr="005179B3">
              <w:rPr>
                <w:sz w:val="17"/>
                <w:szCs w:val="17"/>
                <w:lang w:val="fr-CH"/>
              </w:rPr>
              <w:t xml:space="preserve"> (U2).</w:t>
            </w: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5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Le matériel de consommation ayant une date d'exp</w:t>
            </w:r>
            <w:r w:rsidRPr="005179B3">
              <w:rPr>
                <w:sz w:val="17"/>
                <w:szCs w:val="17"/>
                <w:lang w:val="fr-CH"/>
              </w:rPr>
              <w:t>i</w:t>
            </w:r>
            <w:r w:rsidRPr="005179B3">
              <w:rPr>
                <w:sz w:val="17"/>
                <w:szCs w:val="17"/>
                <w:lang w:val="fr-CH"/>
              </w:rPr>
              <w:t>ration doit être trié dans le cadre de la maintenance annuelle ordinaire et utilisé à d'autres fins.</w:t>
            </w:r>
          </w:p>
        </w:tc>
      </w:tr>
      <w:tr w:rsidR="006658B8" w:rsidRPr="00EF645E" w:rsidTr="00E25FA5">
        <w:trPr>
          <w:trHeight w:val="379"/>
        </w:trPr>
        <w:tc>
          <w:tcPr>
            <w:tcW w:w="4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0" w:rsidRPr="005179B3" w:rsidRDefault="00EF645E" w:rsidP="00E25FA5">
            <w:pPr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Élaborer et mettre à jour les </w:t>
            </w:r>
            <w:r w:rsidRPr="00032A26">
              <w:rPr>
                <w:b/>
                <w:sz w:val="17"/>
                <w:szCs w:val="17"/>
                <w:lang w:val="fr-CH"/>
              </w:rPr>
              <w:t>planifications</w:t>
            </w:r>
            <w:r w:rsidRPr="005179B3">
              <w:rPr>
                <w:sz w:val="17"/>
                <w:szCs w:val="17"/>
                <w:lang w:val="fr-CH"/>
              </w:rPr>
              <w:t xml:space="preserve"> pour la mise en service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B60" w:rsidRPr="005179B3" w:rsidRDefault="00EF645E" w:rsidP="0049595F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i/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>La mise en service des</w:t>
            </w:r>
            <w:r w:rsidRPr="005179B3">
              <w:rPr>
                <w:sz w:val="17"/>
                <w:szCs w:val="17"/>
                <w:lang w:val="fr-CH"/>
              </w:rPr>
              <w:t xml:space="preserve"> PRU fait l'objet d'un exercice périodique avec la commune.</w:t>
            </w:r>
          </w:p>
        </w:tc>
      </w:tr>
    </w:tbl>
    <w:p w:rsidR="008D3B60" w:rsidRPr="005179B3" w:rsidRDefault="00EF645E" w:rsidP="008D3B60">
      <w:pPr>
        <w:rPr>
          <w:lang w:val="fr-CH"/>
        </w:rPr>
      </w:pPr>
    </w:p>
    <w:p w:rsidR="008D3B60" w:rsidRPr="005179B3" w:rsidRDefault="00EF645E">
      <w:pPr>
        <w:spacing w:after="200" w:line="24" w:lineRule="auto"/>
        <w:rPr>
          <w:sz w:val="17"/>
          <w:lang w:val="fr-CH"/>
        </w:rPr>
      </w:pPr>
      <w:r w:rsidRPr="005179B3">
        <w:rPr>
          <w:lang w:val="fr-CH"/>
        </w:rPr>
        <w:br w:type="page"/>
      </w:r>
    </w:p>
    <w:p w:rsidR="008D3B60" w:rsidRPr="005179B3" w:rsidRDefault="00EF645E" w:rsidP="008D3B60">
      <w:pPr>
        <w:pStyle w:val="H1"/>
        <w:spacing w:before="120" w:after="120" w:line="0" w:lineRule="atLeast"/>
        <w:ind w:left="284" w:hanging="284"/>
        <w:rPr>
          <w:lang w:val="fr-CH"/>
        </w:rPr>
      </w:pPr>
      <w:r w:rsidRPr="005179B3">
        <w:rPr>
          <w:lang w:val="fr-CH"/>
        </w:rPr>
        <w:lastRenderedPageBreak/>
        <w:t xml:space="preserve">Mise en </w:t>
      </w:r>
      <w:r w:rsidRPr="005179B3">
        <w:rPr>
          <w:rFonts w:cstheme="majorHAnsi"/>
          <w:lang w:val="fr-CH"/>
        </w:rPr>
        <w:t>œ</w:t>
      </w:r>
      <w:r w:rsidRPr="005179B3">
        <w:rPr>
          <w:lang w:val="fr-CH"/>
        </w:rPr>
        <w:t>uvre de l'aide en cas de catastrophe et de situation d'urgence</w:t>
      </w:r>
    </w:p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4727"/>
        <w:gridCol w:w="4740"/>
      </w:tblGrid>
      <w:tr w:rsidR="006658B8" w:rsidTr="008D3B60">
        <w:tc>
          <w:tcPr>
            <w:tcW w:w="4727" w:type="dxa"/>
            <w:tcBorders>
              <w:bottom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lang w:val="fr-CH"/>
              </w:rPr>
            </w:pPr>
            <w:r w:rsidRPr="005179B3">
              <w:rPr>
                <w:b/>
                <w:sz w:val="17"/>
                <w:szCs w:val="17"/>
                <w:lang w:val="fr-CH"/>
              </w:rPr>
              <w:t>Prestations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lang w:val="fr-CH"/>
              </w:rPr>
            </w:pPr>
            <w:r w:rsidRPr="005179B3">
              <w:rPr>
                <w:b/>
                <w:sz w:val="17"/>
                <w:szCs w:val="17"/>
                <w:lang w:val="fr-CH"/>
              </w:rPr>
              <w:t>Normes</w:t>
            </w:r>
          </w:p>
        </w:tc>
      </w:tr>
      <w:tr w:rsidR="006658B8" w:rsidTr="008D3B60">
        <w:tc>
          <w:tcPr>
            <w:tcW w:w="4727" w:type="dxa"/>
            <w:tcBorders>
              <w:top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highlight w:val="yellow"/>
                <w:u w:val="single"/>
                <w:lang w:val="fr-CH"/>
              </w:rPr>
            </w:pPr>
            <w:r w:rsidRPr="005179B3">
              <w:rPr>
                <w:b/>
                <w:sz w:val="17"/>
                <w:szCs w:val="17"/>
                <w:u w:val="single"/>
                <w:lang w:val="fr-CH"/>
              </w:rPr>
              <w:t>Soutien à</w:t>
            </w:r>
            <w:r w:rsidRPr="005179B3">
              <w:rPr>
                <w:b/>
                <w:sz w:val="17"/>
                <w:szCs w:val="17"/>
                <w:u w:val="single"/>
                <w:lang w:val="fr-CH"/>
              </w:rPr>
              <w:t xml:space="preserve"> la conduite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</w:tcPr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</w:p>
        </w:tc>
      </w:tr>
      <w:tr w:rsidR="006658B8" w:rsidRPr="00EF645E" w:rsidTr="008D3B60">
        <w:tc>
          <w:tcPr>
            <w:tcW w:w="4727" w:type="dxa"/>
            <w:tcBorders>
              <w:bottom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Mettre en place et exploiter les infrastructures PRU</w:t>
            </w:r>
          </w:p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OU</w:t>
            </w:r>
          </w:p>
          <w:p w:rsidR="009472CE" w:rsidRPr="005179B3" w:rsidRDefault="00EF645E" w:rsidP="008D3B60">
            <w:pPr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Soutenir l'exploitation des infrastructures PRU</w:t>
            </w:r>
          </w:p>
          <w:p w:rsidR="008D3B60" w:rsidRPr="005179B3" w:rsidRDefault="00EF645E" w:rsidP="008D3B60">
            <w:pPr>
              <w:pStyle w:val="Listenabsatz"/>
              <w:rPr>
                <w:sz w:val="17"/>
                <w:szCs w:val="17"/>
                <w:lang w:val="fr-CH"/>
              </w:rPr>
            </w:pPr>
          </w:p>
          <w:p w:rsidR="009472CE" w:rsidRPr="005179B3" w:rsidRDefault="00EF645E" w:rsidP="008D3B60">
            <w:pPr>
              <w:pStyle w:val="Listenabsatz"/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Assurer les</w:t>
            </w:r>
            <w:r>
              <w:rPr>
                <w:sz w:val="17"/>
                <w:szCs w:val="17"/>
                <w:lang w:val="fr-CH"/>
              </w:rPr>
              <w:t xml:space="preserve"> liaisons </w:t>
            </w:r>
            <w:r w:rsidRPr="005179B3">
              <w:rPr>
                <w:sz w:val="17"/>
                <w:szCs w:val="17"/>
                <w:lang w:val="fr-CH"/>
              </w:rPr>
              <w:t xml:space="preserve">POLYCOM </w:t>
            </w:r>
            <w:r>
              <w:rPr>
                <w:sz w:val="17"/>
                <w:szCs w:val="17"/>
                <w:lang w:val="fr-CH"/>
              </w:rPr>
              <w:t>et les communic</w:t>
            </w:r>
            <w:r>
              <w:rPr>
                <w:sz w:val="17"/>
                <w:szCs w:val="17"/>
                <w:lang w:val="fr-CH"/>
              </w:rPr>
              <w:t>a</w:t>
            </w:r>
            <w:r>
              <w:rPr>
                <w:sz w:val="17"/>
                <w:szCs w:val="17"/>
                <w:lang w:val="fr-CH"/>
              </w:rPr>
              <w:t xml:space="preserve">tions </w:t>
            </w:r>
            <w:r w:rsidRPr="005179B3">
              <w:rPr>
                <w:sz w:val="17"/>
                <w:szCs w:val="17"/>
                <w:lang w:val="fr-CH"/>
              </w:rPr>
              <w:t>avec l'or</w:t>
            </w:r>
            <w:r>
              <w:rPr>
                <w:sz w:val="17"/>
                <w:szCs w:val="17"/>
                <w:lang w:val="fr-CH"/>
              </w:rPr>
              <w:t>gane de conduite et la centrale</w:t>
            </w:r>
            <w:r>
              <w:rPr>
                <w:sz w:val="17"/>
                <w:szCs w:val="17"/>
                <w:lang w:val="fr-CH"/>
              </w:rPr>
              <w:br/>
            </w:r>
            <w:r w:rsidRPr="005179B3">
              <w:rPr>
                <w:sz w:val="17"/>
                <w:szCs w:val="17"/>
                <w:lang w:val="fr-CH"/>
              </w:rPr>
              <w:t>d'engagement régionale (CER)</w:t>
            </w:r>
          </w:p>
          <w:p w:rsidR="008D3B60" w:rsidRPr="005179B3" w:rsidRDefault="00EF645E" w:rsidP="008D3B60">
            <w:pPr>
              <w:pStyle w:val="Listenabsatz"/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pStyle w:val="Listenabsatz"/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>Obtenir, dépouiller et diff</w:t>
            </w:r>
            <w:r w:rsidRPr="005179B3">
              <w:rPr>
                <w:sz w:val="17"/>
                <w:szCs w:val="17"/>
                <w:lang w:val="fr-CH"/>
              </w:rPr>
              <w:t>u</w:t>
            </w:r>
            <w:r>
              <w:rPr>
                <w:sz w:val="17"/>
                <w:szCs w:val="17"/>
                <w:lang w:val="fr-CH"/>
              </w:rPr>
              <w:t>s</w:t>
            </w:r>
            <w:r w:rsidRPr="005179B3">
              <w:rPr>
                <w:sz w:val="17"/>
                <w:szCs w:val="17"/>
                <w:lang w:val="fr-CH"/>
              </w:rPr>
              <w:t>er les informations (à l'interne du PRU)</w:t>
            </w:r>
          </w:p>
          <w:p w:rsidR="008D3B60" w:rsidRPr="005179B3" w:rsidRDefault="00EF645E" w:rsidP="008D3B60">
            <w:pPr>
              <w:pStyle w:val="Listenabsatz"/>
              <w:rPr>
                <w:sz w:val="17"/>
                <w:szCs w:val="17"/>
                <w:lang w:val="fr-CH"/>
              </w:rPr>
            </w:pP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</w:tcBorders>
          </w:tcPr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Assurer la disponibilité opérationnelle en l'espace de deux heures</w:t>
            </w: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Assurer l'exploitation sur le long terme </w:t>
            </w:r>
            <w:r>
              <w:rPr>
                <w:sz w:val="17"/>
                <w:szCs w:val="17"/>
                <w:lang w:val="fr-CH"/>
              </w:rPr>
              <w:t>avec</w:t>
            </w:r>
            <w:r w:rsidRPr="005179B3">
              <w:rPr>
                <w:sz w:val="17"/>
                <w:szCs w:val="17"/>
                <w:lang w:val="fr-CH"/>
              </w:rPr>
              <w:t xml:space="preserve"> deux membres de la protection civile pour chaque PRU</w:t>
            </w:r>
          </w:p>
          <w:p w:rsidR="009472CE" w:rsidRPr="005179B3" w:rsidRDefault="00EF645E" w:rsidP="009472CE">
            <w:p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>
              <w:rPr>
                <w:sz w:val="17"/>
                <w:szCs w:val="17"/>
                <w:lang w:val="fr-CH"/>
              </w:rPr>
              <w:t>X </w:t>
            </w:r>
            <w:r w:rsidRPr="005179B3">
              <w:rPr>
                <w:sz w:val="17"/>
                <w:szCs w:val="17"/>
                <w:lang w:val="fr-CH"/>
              </w:rPr>
              <w:t xml:space="preserve">membres de la </w:t>
            </w:r>
            <w:r w:rsidRPr="005179B3">
              <w:rPr>
                <w:sz w:val="17"/>
                <w:szCs w:val="17"/>
                <w:lang w:val="fr-CH"/>
              </w:rPr>
              <w:t>protection civile sont prêts à inte</w:t>
            </w:r>
            <w:r w:rsidRPr="005179B3">
              <w:rPr>
                <w:sz w:val="17"/>
                <w:szCs w:val="17"/>
                <w:lang w:val="fr-CH"/>
              </w:rPr>
              <w:t>r</w:t>
            </w:r>
            <w:r w:rsidRPr="005179B3">
              <w:rPr>
                <w:sz w:val="17"/>
                <w:szCs w:val="17"/>
                <w:lang w:val="fr-CH"/>
              </w:rPr>
              <w:t>venir en l'espace de X heures après la convocation</w:t>
            </w:r>
          </w:p>
          <w:p w:rsidR="00BE2632" w:rsidRPr="005179B3" w:rsidRDefault="00EF645E" w:rsidP="008D3B60">
            <w:pPr>
              <w:pStyle w:val="Listenabsatz"/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Assurer le fonctionnement de POLYCOM sur le long terme sans interruption avec au moins deux appareils par PRU</w:t>
            </w: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Recueillir les informations de la population et les trans</w:t>
            </w:r>
            <w:r>
              <w:rPr>
                <w:sz w:val="17"/>
                <w:szCs w:val="17"/>
                <w:lang w:val="fr-CH"/>
              </w:rPr>
              <w:t>mettre</w:t>
            </w:r>
            <w:r w:rsidRPr="005179B3">
              <w:rPr>
                <w:sz w:val="17"/>
                <w:szCs w:val="17"/>
                <w:lang w:val="fr-CH"/>
              </w:rPr>
              <w:t xml:space="preserve"> à l'organe de conduite</w:t>
            </w: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Transférer les appels d'urgence de la population à la CER ou aux forces d'intervention</w:t>
            </w:r>
          </w:p>
          <w:p w:rsidR="008D3B60" w:rsidRPr="005179B3" w:rsidRDefault="00EF645E" w:rsidP="008D3B60">
            <w:pPr>
              <w:pStyle w:val="Listenabsatz"/>
              <w:rPr>
                <w:sz w:val="17"/>
                <w:szCs w:val="17"/>
                <w:lang w:val="fr-CH"/>
              </w:rPr>
            </w:pP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Suivre l'actualité dans les médias et sur Alertswiss</w:t>
            </w:r>
          </w:p>
          <w:p w:rsidR="008D3B60" w:rsidRPr="005179B3" w:rsidRDefault="00EF645E" w:rsidP="008D3B60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Assurer la communication et le flux d'information</w:t>
            </w:r>
            <w:r>
              <w:rPr>
                <w:sz w:val="17"/>
                <w:szCs w:val="17"/>
                <w:lang w:val="fr-CH"/>
              </w:rPr>
              <w:t>s</w:t>
            </w:r>
            <w:r w:rsidRPr="005179B3">
              <w:rPr>
                <w:sz w:val="17"/>
                <w:szCs w:val="17"/>
                <w:lang w:val="fr-CH"/>
              </w:rPr>
              <w:t xml:space="preserve"> avec les organes de conduite et le</w:t>
            </w:r>
            <w:r w:rsidRPr="005179B3">
              <w:rPr>
                <w:sz w:val="17"/>
                <w:szCs w:val="17"/>
                <w:lang w:val="fr-CH"/>
              </w:rPr>
              <w:t>s autres PRU</w:t>
            </w:r>
          </w:p>
          <w:p w:rsidR="008D3B60" w:rsidRPr="005179B3" w:rsidRDefault="00EF645E" w:rsidP="009472CE">
            <w:pPr>
              <w:pStyle w:val="Listenabsatz"/>
              <w:numPr>
                <w:ilvl w:val="0"/>
                <w:numId w:val="36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Diffuser les renseignements et les consignes de comportement de l'organe de conduite et de la commune</w:t>
            </w:r>
          </w:p>
        </w:tc>
      </w:tr>
      <w:tr w:rsidR="006658B8" w:rsidTr="008D3B60">
        <w:tc>
          <w:tcPr>
            <w:tcW w:w="4727" w:type="dxa"/>
            <w:tcBorders>
              <w:top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u w:val="single"/>
                <w:lang w:val="fr-CH"/>
              </w:rPr>
            </w:pPr>
            <w:r w:rsidRPr="005179B3">
              <w:rPr>
                <w:b/>
                <w:sz w:val="17"/>
                <w:szCs w:val="17"/>
                <w:u w:val="single"/>
                <w:lang w:val="fr-CH"/>
              </w:rPr>
              <w:t>Encadrement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u w:val="single"/>
                <w:lang w:val="fr-CH"/>
              </w:rPr>
            </w:pPr>
          </w:p>
        </w:tc>
      </w:tr>
      <w:tr w:rsidR="006658B8" w:rsidRPr="00EF645E" w:rsidTr="008D3B60">
        <w:tc>
          <w:tcPr>
            <w:tcW w:w="4727" w:type="dxa"/>
            <w:tcBorders>
              <w:bottom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pStyle w:val="Listenabsatz"/>
              <w:numPr>
                <w:ilvl w:val="0"/>
                <w:numId w:val="38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Fournir des prestations optionnelles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</w:tcBorders>
          </w:tcPr>
          <w:p w:rsidR="008D3B60" w:rsidRPr="005179B3" w:rsidRDefault="00EF645E" w:rsidP="008D3B60">
            <w:pPr>
              <w:pStyle w:val="Listenabsatz"/>
              <w:numPr>
                <w:ilvl w:val="0"/>
                <w:numId w:val="38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Des prestations optionnelles sont fournies en fon</w:t>
            </w:r>
            <w:r w:rsidRPr="005179B3">
              <w:rPr>
                <w:sz w:val="17"/>
                <w:szCs w:val="17"/>
                <w:lang w:val="fr-CH"/>
              </w:rPr>
              <w:t>c</w:t>
            </w:r>
            <w:r w:rsidRPr="005179B3">
              <w:rPr>
                <w:sz w:val="17"/>
                <w:szCs w:val="17"/>
                <w:lang w:val="fr-CH"/>
              </w:rPr>
              <w:t xml:space="preserve">tion des ressources humaines et </w:t>
            </w:r>
            <w:r w:rsidRPr="005179B3">
              <w:rPr>
                <w:sz w:val="17"/>
                <w:szCs w:val="17"/>
                <w:lang w:val="fr-CH"/>
              </w:rPr>
              <w:t>matérielles.</w:t>
            </w:r>
          </w:p>
        </w:tc>
      </w:tr>
      <w:tr w:rsidR="006658B8" w:rsidTr="008D3B60">
        <w:tc>
          <w:tcPr>
            <w:tcW w:w="4727" w:type="dxa"/>
            <w:tcBorders>
              <w:top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u w:val="single"/>
                <w:lang w:val="fr-CH"/>
              </w:rPr>
            </w:pPr>
            <w:r w:rsidRPr="005179B3">
              <w:rPr>
                <w:b/>
                <w:sz w:val="17"/>
                <w:szCs w:val="17"/>
                <w:u w:val="single"/>
                <w:lang w:val="fr-CH"/>
              </w:rPr>
              <w:t>Logistique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</w:tcBorders>
          </w:tcPr>
          <w:p w:rsidR="008D3B60" w:rsidRPr="005179B3" w:rsidRDefault="00EF645E" w:rsidP="008D3B60">
            <w:pPr>
              <w:rPr>
                <w:b/>
                <w:sz w:val="17"/>
                <w:szCs w:val="17"/>
                <w:u w:val="single"/>
                <w:lang w:val="fr-CH"/>
              </w:rPr>
            </w:pPr>
          </w:p>
        </w:tc>
      </w:tr>
      <w:tr w:rsidR="006658B8" w:rsidRPr="00EF645E" w:rsidTr="008D3B60">
        <w:tc>
          <w:tcPr>
            <w:tcW w:w="4727" w:type="dxa"/>
            <w:tcBorders>
              <w:bottom w:val="single" w:sz="4" w:space="0" w:color="auto"/>
              <w:right w:val="single" w:sz="4" w:space="0" w:color="auto"/>
            </w:tcBorders>
          </w:tcPr>
          <w:p w:rsidR="008D3B60" w:rsidRPr="005179B3" w:rsidRDefault="00EF645E" w:rsidP="008D3B60">
            <w:pPr>
              <w:pStyle w:val="Listenabsatz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rPr>
                <w:b/>
                <w:sz w:val="17"/>
                <w:szCs w:val="17"/>
                <w:u w:val="single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>Couvrir les besoins logistiques des PRU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</w:tcBorders>
          </w:tcPr>
          <w:p w:rsidR="008D3B60" w:rsidRPr="005179B3" w:rsidRDefault="00EF645E" w:rsidP="0044657D">
            <w:pPr>
              <w:pStyle w:val="Listenabsatz"/>
              <w:numPr>
                <w:ilvl w:val="0"/>
                <w:numId w:val="39"/>
              </w:numPr>
              <w:adjustRightInd w:val="0"/>
              <w:snapToGrid w:val="0"/>
              <w:spacing w:line="280" w:lineRule="atLeast"/>
              <w:rPr>
                <w:sz w:val="17"/>
                <w:szCs w:val="17"/>
                <w:lang w:val="fr-CH"/>
              </w:rPr>
            </w:pPr>
            <w:r w:rsidRPr="005179B3">
              <w:rPr>
                <w:sz w:val="17"/>
                <w:szCs w:val="17"/>
                <w:lang w:val="fr-CH"/>
              </w:rPr>
              <w:t xml:space="preserve">Mise à disposition </w:t>
            </w:r>
            <w:r>
              <w:rPr>
                <w:sz w:val="17"/>
                <w:szCs w:val="17"/>
                <w:lang w:val="fr-CH"/>
              </w:rPr>
              <w:t>du</w:t>
            </w:r>
            <w:r w:rsidRPr="005179B3">
              <w:rPr>
                <w:sz w:val="17"/>
                <w:szCs w:val="17"/>
                <w:lang w:val="fr-CH"/>
              </w:rPr>
              <w:t xml:space="preserve"> matériel nécessaire au mai</w:t>
            </w:r>
            <w:r w:rsidRPr="005179B3">
              <w:rPr>
                <w:sz w:val="17"/>
                <w:szCs w:val="17"/>
                <w:lang w:val="fr-CH"/>
              </w:rPr>
              <w:t>n</w:t>
            </w:r>
            <w:r w:rsidRPr="005179B3">
              <w:rPr>
                <w:sz w:val="17"/>
                <w:szCs w:val="17"/>
                <w:lang w:val="fr-CH"/>
              </w:rPr>
              <w:t>tien de l'exploitation des PRU</w:t>
            </w:r>
          </w:p>
        </w:tc>
      </w:tr>
    </w:tbl>
    <w:p w:rsidR="008D3B60" w:rsidRPr="005179B3" w:rsidRDefault="00EF645E" w:rsidP="008D3B60">
      <w:pPr>
        <w:rPr>
          <w:lang w:val="fr-CH"/>
        </w:rPr>
      </w:pPr>
    </w:p>
    <w:p w:rsidR="008D3B60" w:rsidRPr="005179B3" w:rsidRDefault="00EF645E" w:rsidP="008D3B60">
      <w:pPr>
        <w:pStyle w:val="H1"/>
        <w:spacing w:before="120" w:after="120" w:line="0" w:lineRule="atLeast"/>
        <w:ind w:left="284" w:hanging="284"/>
        <w:rPr>
          <w:lang w:val="fr-CH"/>
        </w:rPr>
      </w:pPr>
      <w:r w:rsidRPr="005179B3">
        <w:rPr>
          <w:lang w:val="fr-CH"/>
        </w:rPr>
        <w:t>Missions, compétences et responsabilités</w:t>
      </w:r>
    </w:p>
    <w:p w:rsidR="008D3B60" w:rsidRPr="005179B3" w:rsidRDefault="00EF645E" w:rsidP="008D3B60">
      <w:pPr>
        <w:pStyle w:val="Text85pt"/>
        <w:rPr>
          <w:lang w:val="fr-CH"/>
        </w:rPr>
      </w:pPr>
      <w:r w:rsidRPr="005179B3">
        <w:rPr>
          <w:lang w:val="fr-CH"/>
        </w:rPr>
        <w:t xml:space="preserve">Les missions, les compétences et les responsabilités sont réglées </w:t>
      </w:r>
      <w:r w:rsidRPr="005179B3">
        <w:rPr>
          <w:lang w:val="fr-CH"/>
        </w:rPr>
        <w:t>dans la planification PRU</w:t>
      </w:r>
      <w:r>
        <w:rPr>
          <w:lang w:val="fr-CH"/>
        </w:rPr>
        <w:t> BE</w:t>
      </w:r>
      <w:r w:rsidRPr="005179B3">
        <w:rPr>
          <w:lang w:val="fr-CH"/>
        </w:rPr>
        <w:t xml:space="preserve"> et </w:t>
      </w:r>
      <w:r w:rsidRPr="005179B3">
        <w:rPr>
          <w:szCs w:val="17"/>
          <w:lang w:val="fr-CH"/>
        </w:rPr>
        <w:t>dans le</w:t>
      </w:r>
      <w:r>
        <w:rPr>
          <w:szCs w:val="17"/>
          <w:lang w:val="fr-CH"/>
        </w:rPr>
        <w:t xml:space="preserve"> plan</w:t>
      </w:r>
      <w:r w:rsidRPr="005179B3">
        <w:rPr>
          <w:szCs w:val="17"/>
          <w:lang w:val="fr-CH"/>
        </w:rPr>
        <w:t xml:space="preserve"> de maintenance et d</w:t>
      </w:r>
      <w:r>
        <w:rPr>
          <w:szCs w:val="17"/>
          <w:lang w:val="fr-CH"/>
        </w:rPr>
        <w:t>e fonctionnement</w:t>
      </w:r>
      <w:r w:rsidRPr="005179B3">
        <w:rPr>
          <w:szCs w:val="17"/>
          <w:lang w:val="fr-CH"/>
        </w:rPr>
        <w:t xml:space="preserve"> (U2).</w:t>
      </w:r>
    </w:p>
    <w:p w:rsidR="008D3B60" w:rsidRPr="005179B3" w:rsidRDefault="00EF645E" w:rsidP="008D3B60">
      <w:pPr>
        <w:pStyle w:val="Text85pt"/>
        <w:rPr>
          <w:lang w:val="fr-CH"/>
        </w:rPr>
      </w:pPr>
    </w:p>
    <w:p w:rsidR="008D3B60" w:rsidRPr="00032A26" w:rsidRDefault="00EF645E" w:rsidP="008D3B60">
      <w:pPr>
        <w:pStyle w:val="H1"/>
        <w:spacing w:before="120" w:after="120" w:line="0" w:lineRule="atLeast"/>
        <w:ind w:left="284" w:hanging="284"/>
        <w:rPr>
          <w:lang w:val="fr-CH"/>
        </w:rPr>
      </w:pPr>
      <w:r w:rsidRPr="00032A26">
        <w:rPr>
          <w:lang w:val="fr-CH"/>
        </w:rPr>
        <w:t>Entrée en vigueur</w:t>
      </w:r>
    </w:p>
    <w:p w:rsidR="008D3B60" w:rsidRPr="0044657D" w:rsidRDefault="00EF645E" w:rsidP="008D3B60">
      <w:pPr>
        <w:pStyle w:val="Text85pt"/>
        <w:rPr>
          <w:i/>
          <w:lang w:val="fr-CH"/>
        </w:rPr>
      </w:pPr>
      <w:r w:rsidRPr="0044657D">
        <w:rPr>
          <w:i/>
          <w:lang w:val="fr-CH"/>
        </w:rPr>
        <w:t>Après adaptatio</w:t>
      </w:r>
      <w:r>
        <w:rPr>
          <w:i/>
          <w:lang w:val="fr-CH"/>
        </w:rPr>
        <w:t>n et approbation par l'autorité compétente</w:t>
      </w:r>
    </w:p>
    <w:sectPr w:rsidR="008D3B60" w:rsidRPr="0044657D" w:rsidSect="008D3B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645E">
      <w:pPr>
        <w:spacing w:line="240" w:lineRule="auto"/>
      </w:pPr>
      <w:r>
        <w:separator/>
      </w:r>
    </w:p>
  </w:endnote>
  <w:endnote w:type="continuationSeparator" w:id="0">
    <w:p w:rsidR="00000000" w:rsidRDefault="00EF6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60" w:rsidRPr="00BD4A9C" w:rsidRDefault="00EF645E" w:rsidP="008D3B60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60" w:rsidRPr="005C6148" w:rsidRDefault="00EF645E" w:rsidP="008D3B6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 xml:space="preserve">PAGE   \* </w:instrText>
                          </w:r>
                          <w:r w:rsidRPr="005C6148">
                            <w:instrText>MERGEFORMAT</w:instrText>
                          </w:r>
                          <w:r w:rsidRPr="005C6148">
                            <w:fldChar w:fldCharType="separate"/>
                          </w:r>
                          <w:r w:rsidRPr="00EF645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8D3B60" w:rsidRPr="005C6148" w:rsidRDefault="00EF645E" w:rsidP="008D3B6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 xml:space="preserve">PAGE   \* </w:instrText>
                    </w:r>
                    <w:r w:rsidRPr="005C6148">
                      <w:instrText>MERGEFORMAT</w:instrText>
                    </w:r>
                    <w:r w:rsidRPr="005C6148">
                      <w:fldChar w:fldCharType="separate"/>
                    </w:r>
                    <w:r w:rsidRPr="00EF645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60" w:rsidRPr="005E4307" w:rsidRDefault="00EF645E" w:rsidP="008D3B60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60" w:rsidRPr="005C6148" w:rsidRDefault="00EF645E" w:rsidP="008D3B6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EF645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6438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ZC8ek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8D3B60" w:rsidRPr="005C6148" w:rsidRDefault="00EF645E" w:rsidP="008D3B6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EF645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60" w:rsidRPr="005C6148" w:rsidRDefault="00EF645E" w:rsidP="008D3B6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EF645E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62336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:rsidR="008D3B60" w:rsidRPr="005C6148" w:rsidRDefault="00EF645E" w:rsidP="008D3B6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EF645E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645E">
      <w:pPr>
        <w:spacing w:line="240" w:lineRule="auto"/>
      </w:pPr>
      <w:r>
        <w:separator/>
      </w:r>
    </w:p>
  </w:footnote>
  <w:footnote w:type="continuationSeparator" w:id="0">
    <w:p w:rsidR="00000000" w:rsidRDefault="00EF6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60" w:rsidRDefault="00EF645E" w:rsidP="008D3B60">
    <w:pPr>
      <w:pStyle w:val="Kopfzeile"/>
    </w:pPr>
    <w:r w:rsidRPr="00B0249E"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9923" w:type="dxa"/>
      <w:tblLook w:val="04A0" w:firstRow="1" w:lastRow="0" w:firstColumn="1" w:lastColumn="0" w:noHBand="0" w:noVBand="1"/>
    </w:tblPr>
    <w:tblGrid>
      <w:gridCol w:w="2494"/>
      <w:gridCol w:w="3176"/>
      <w:gridCol w:w="2268"/>
      <w:gridCol w:w="1985"/>
    </w:tblGrid>
    <w:tr w:rsidR="006658B8" w:rsidTr="00050919">
      <w:tc>
        <w:tcPr>
          <w:tcW w:w="2494" w:type="dxa"/>
        </w:tcPr>
        <w:p w:rsidR="008D3B60" w:rsidRDefault="00EF645E" w:rsidP="008D3B60">
          <w:pPr>
            <w:pStyle w:val="Kopfzeile"/>
          </w:pPr>
        </w:p>
      </w:tc>
      <w:tc>
        <w:tcPr>
          <w:tcW w:w="3176" w:type="dxa"/>
        </w:tcPr>
        <w:p w:rsidR="008D3B60" w:rsidRPr="00C3788F" w:rsidRDefault="00EF645E" w:rsidP="008D3B60">
          <w:pPr>
            <w:pStyle w:val="Text85pt"/>
            <w:rPr>
              <w:lang w:val="fr-CH"/>
            </w:rPr>
          </w:pPr>
          <w:r w:rsidRPr="00C3788F">
            <w:rPr>
              <w:lang w:val="fr-CH"/>
            </w:rPr>
            <w:t>Direction de la sécurité</w:t>
          </w:r>
        </w:p>
        <w:p w:rsidR="008D3B60" w:rsidRPr="00C3788F" w:rsidRDefault="00EF645E" w:rsidP="008D3B60">
          <w:pPr>
            <w:pStyle w:val="Text85pt"/>
            <w:rPr>
              <w:lang w:val="fr-CH"/>
            </w:rPr>
          </w:pPr>
          <w:r w:rsidRPr="00C3788F">
            <w:rPr>
              <w:lang w:val="fr-CH"/>
            </w:rPr>
            <w:t>Office de la sécurité civile,</w:t>
          </w:r>
          <w:r>
            <w:rPr>
              <w:lang w:val="fr-CH"/>
            </w:rPr>
            <w:br/>
            <w:t>du sport et des affaires militaires</w:t>
          </w:r>
        </w:p>
        <w:p w:rsidR="008D3B60" w:rsidRPr="00C3788F" w:rsidRDefault="00EF645E" w:rsidP="008D3B60">
          <w:pPr>
            <w:pStyle w:val="Text85pt"/>
            <w:rPr>
              <w:highlight w:val="yellow"/>
              <w:lang w:val="fr-CH"/>
            </w:rPr>
          </w:pPr>
          <w:r w:rsidRPr="00C3788F">
            <w:rPr>
              <w:lang w:val="fr-CH"/>
            </w:rPr>
            <w:t>Service de la protection</w:t>
          </w:r>
          <w:r>
            <w:rPr>
              <w:lang w:val="fr-CH"/>
            </w:rPr>
            <w:br/>
          </w:r>
          <w:r w:rsidRPr="00C3788F">
            <w:rPr>
              <w:lang w:val="fr-CH"/>
            </w:rPr>
            <w:t>de la population</w:t>
          </w:r>
        </w:p>
      </w:tc>
      <w:tc>
        <w:tcPr>
          <w:tcW w:w="2268" w:type="dxa"/>
        </w:tcPr>
        <w:p w:rsidR="008D3B60" w:rsidRPr="00336989" w:rsidRDefault="00EF645E" w:rsidP="008D3B60">
          <w:pPr>
            <w:pStyle w:val="Text85pt"/>
          </w:pPr>
          <w:r>
            <w:t>Papiermühlestrasse 17v</w:t>
          </w:r>
        </w:p>
        <w:p w:rsidR="008D3B60" w:rsidRDefault="00EF645E" w:rsidP="008D3B60">
          <w:pPr>
            <w:pStyle w:val="Text85pt"/>
          </w:pPr>
          <w:r>
            <w:t>3000 Berne 22</w:t>
          </w:r>
        </w:p>
        <w:p w:rsidR="008D3B60" w:rsidRPr="00336989" w:rsidRDefault="00EF645E" w:rsidP="008D3B60">
          <w:pPr>
            <w:pStyle w:val="Text85pt"/>
          </w:pPr>
          <w:r>
            <w:t>Case postale</w:t>
          </w:r>
        </w:p>
        <w:p w:rsidR="008D3B60" w:rsidRDefault="00EF645E" w:rsidP="008D3B60">
          <w:pPr>
            <w:pStyle w:val="Text85pt"/>
          </w:pPr>
          <w:r>
            <w:t xml:space="preserve">+41 31 </w:t>
          </w:r>
          <w:r w:rsidRPr="00223176">
            <w:t>636 05 30</w:t>
          </w:r>
        </w:p>
      </w:tc>
      <w:tc>
        <w:tcPr>
          <w:tcW w:w="1985" w:type="dxa"/>
          <w:vAlign w:val="center"/>
        </w:tcPr>
        <w:p w:rsidR="008D3B60" w:rsidRDefault="00EF645E" w:rsidP="008D3B60">
          <w:pPr>
            <w:pStyle w:val="Kopfzeile"/>
            <w:jc w:val="right"/>
          </w:pPr>
          <w:r>
            <w:drawing>
              <wp:inline distT="0" distB="0" distL="0" distR="0">
                <wp:extent cx="832527" cy="281418"/>
                <wp:effectExtent l="0" t="0" r="5715" b="444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latzhalter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527" cy="281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D3B60" w:rsidRDefault="00EF645E" w:rsidP="008D3B60">
    <w:pPr>
      <w:pStyle w:val="Kopfzeile"/>
    </w:pPr>
    <w: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C55D8"/>
    <w:multiLevelType w:val="hybridMultilevel"/>
    <w:tmpl w:val="0B16C8C0"/>
    <w:lvl w:ilvl="0" w:tplc="7EE2475A">
      <w:numFmt w:val="bullet"/>
      <w:lvlText w:val="‒"/>
      <w:lvlJc w:val="left"/>
      <w:pPr>
        <w:ind w:left="720" w:hanging="360"/>
      </w:pPr>
      <w:rPr>
        <w:rFonts w:ascii="Arial" w:hAnsi="Arial" w:hint="default"/>
        <w:sz w:val="16"/>
      </w:rPr>
    </w:lvl>
    <w:lvl w:ilvl="1" w:tplc="B9F46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0D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B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CB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84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89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A2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8D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27406"/>
    <w:multiLevelType w:val="hybridMultilevel"/>
    <w:tmpl w:val="266A0284"/>
    <w:lvl w:ilvl="0" w:tplc="1F8A6C3C">
      <w:numFmt w:val="bullet"/>
      <w:lvlText w:val="‒"/>
      <w:lvlJc w:val="left"/>
      <w:pPr>
        <w:ind w:left="720" w:hanging="360"/>
      </w:pPr>
      <w:rPr>
        <w:rFonts w:ascii="Arial" w:hAnsi="Arial" w:hint="default"/>
        <w:sz w:val="16"/>
      </w:rPr>
    </w:lvl>
    <w:lvl w:ilvl="1" w:tplc="C15A1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23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41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AA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01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CD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88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A61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974556E"/>
    <w:multiLevelType w:val="hybridMultilevel"/>
    <w:tmpl w:val="B14E7AF0"/>
    <w:lvl w:ilvl="0" w:tplc="17C8BCEC">
      <w:numFmt w:val="bullet"/>
      <w:lvlText w:val="‒"/>
      <w:lvlJc w:val="left"/>
      <w:pPr>
        <w:ind w:left="720" w:hanging="360"/>
      </w:pPr>
      <w:rPr>
        <w:rFonts w:ascii="Arial" w:hAnsi="Arial" w:hint="default"/>
        <w:sz w:val="16"/>
      </w:rPr>
    </w:lvl>
    <w:lvl w:ilvl="1" w:tplc="5A6C5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62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C6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C6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4D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44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E7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2E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5460E4"/>
    <w:multiLevelType w:val="hybridMultilevel"/>
    <w:tmpl w:val="6B1C885E"/>
    <w:lvl w:ilvl="0" w:tplc="8ACC5612">
      <w:numFmt w:val="bullet"/>
      <w:lvlText w:val="‒"/>
      <w:lvlJc w:val="left"/>
      <w:pPr>
        <w:ind w:left="720" w:hanging="360"/>
      </w:pPr>
      <w:rPr>
        <w:rFonts w:ascii="Arial" w:hAnsi="Arial" w:hint="default"/>
        <w:sz w:val="16"/>
      </w:rPr>
    </w:lvl>
    <w:lvl w:ilvl="1" w:tplc="6A5E2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0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0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66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86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CB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65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C8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555D12"/>
    <w:multiLevelType w:val="hybridMultilevel"/>
    <w:tmpl w:val="A51EEEE8"/>
    <w:lvl w:ilvl="0" w:tplc="96501CC8">
      <w:start w:val="1"/>
      <w:numFmt w:val="decimal"/>
      <w:lvlText w:val="%1."/>
      <w:lvlJc w:val="left"/>
      <w:pPr>
        <w:ind w:left="720" w:hanging="360"/>
      </w:pPr>
    </w:lvl>
    <w:lvl w:ilvl="1" w:tplc="AF2A57C2" w:tentative="1">
      <w:start w:val="1"/>
      <w:numFmt w:val="lowerLetter"/>
      <w:lvlText w:val="%2."/>
      <w:lvlJc w:val="left"/>
      <w:pPr>
        <w:ind w:left="1440" w:hanging="360"/>
      </w:pPr>
    </w:lvl>
    <w:lvl w:ilvl="2" w:tplc="225A3628" w:tentative="1">
      <w:start w:val="1"/>
      <w:numFmt w:val="lowerRoman"/>
      <w:lvlText w:val="%3."/>
      <w:lvlJc w:val="right"/>
      <w:pPr>
        <w:ind w:left="2160" w:hanging="180"/>
      </w:pPr>
    </w:lvl>
    <w:lvl w:ilvl="3" w:tplc="F4005BFA" w:tentative="1">
      <w:start w:val="1"/>
      <w:numFmt w:val="decimal"/>
      <w:lvlText w:val="%4."/>
      <w:lvlJc w:val="left"/>
      <w:pPr>
        <w:ind w:left="2880" w:hanging="360"/>
      </w:pPr>
    </w:lvl>
    <w:lvl w:ilvl="4" w:tplc="FC608258" w:tentative="1">
      <w:start w:val="1"/>
      <w:numFmt w:val="lowerLetter"/>
      <w:lvlText w:val="%5."/>
      <w:lvlJc w:val="left"/>
      <w:pPr>
        <w:ind w:left="3600" w:hanging="360"/>
      </w:pPr>
    </w:lvl>
    <w:lvl w:ilvl="5" w:tplc="CA5834C2" w:tentative="1">
      <w:start w:val="1"/>
      <w:numFmt w:val="lowerRoman"/>
      <w:lvlText w:val="%6."/>
      <w:lvlJc w:val="right"/>
      <w:pPr>
        <w:ind w:left="4320" w:hanging="180"/>
      </w:pPr>
    </w:lvl>
    <w:lvl w:ilvl="6" w:tplc="7DAEE19C" w:tentative="1">
      <w:start w:val="1"/>
      <w:numFmt w:val="decimal"/>
      <w:lvlText w:val="%7."/>
      <w:lvlJc w:val="left"/>
      <w:pPr>
        <w:ind w:left="5040" w:hanging="360"/>
      </w:pPr>
    </w:lvl>
    <w:lvl w:ilvl="7" w:tplc="9FD425C8" w:tentative="1">
      <w:start w:val="1"/>
      <w:numFmt w:val="lowerLetter"/>
      <w:lvlText w:val="%8."/>
      <w:lvlJc w:val="left"/>
      <w:pPr>
        <w:ind w:left="5760" w:hanging="360"/>
      </w:pPr>
    </w:lvl>
    <w:lvl w:ilvl="8" w:tplc="C390E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E73CA"/>
    <w:multiLevelType w:val="hybridMultilevel"/>
    <w:tmpl w:val="5D00219C"/>
    <w:lvl w:ilvl="0" w:tplc="F1A2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A7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49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CE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A6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60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C7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C9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03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0">
    <w:nsid w:val="51F1559E"/>
    <w:multiLevelType w:val="hybridMultilevel"/>
    <w:tmpl w:val="9DFC3B54"/>
    <w:lvl w:ilvl="0" w:tplc="B4B4046E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31D4E3B8" w:tentative="1">
      <w:start w:val="1"/>
      <w:numFmt w:val="lowerLetter"/>
      <w:lvlText w:val="%2."/>
      <w:lvlJc w:val="left"/>
      <w:pPr>
        <w:ind w:left="1440" w:hanging="360"/>
      </w:pPr>
    </w:lvl>
    <w:lvl w:ilvl="2" w:tplc="A136303A" w:tentative="1">
      <w:start w:val="1"/>
      <w:numFmt w:val="lowerRoman"/>
      <w:lvlText w:val="%3."/>
      <w:lvlJc w:val="right"/>
      <w:pPr>
        <w:ind w:left="2160" w:hanging="180"/>
      </w:pPr>
    </w:lvl>
    <w:lvl w:ilvl="3" w:tplc="8BF24AFC" w:tentative="1">
      <w:start w:val="1"/>
      <w:numFmt w:val="decimal"/>
      <w:lvlText w:val="%4."/>
      <w:lvlJc w:val="left"/>
      <w:pPr>
        <w:ind w:left="2880" w:hanging="360"/>
      </w:pPr>
    </w:lvl>
    <w:lvl w:ilvl="4" w:tplc="18AE1BF0" w:tentative="1">
      <w:start w:val="1"/>
      <w:numFmt w:val="lowerLetter"/>
      <w:lvlText w:val="%5."/>
      <w:lvlJc w:val="left"/>
      <w:pPr>
        <w:ind w:left="3600" w:hanging="360"/>
      </w:pPr>
    </w:lvl>
    <w:lvl w:ilvl="5" w:tplc="1C02E514" w:tentative="1">
      <w:start w:val="1"/>
      <w:numFmt w:val="lowerRoman"/>
      <w:lvlText w:val="%6."/>
      <w:lvlJc w:val="right"/>
      <w:pPr>
        <w:ind w:left="4320" w:hanging="180"/>
      </w:pPr>
    </w:lvl>
    <w:lvl w:ilvl="6" w:tplc="D7A0BE90" w:tentative="1">
      <w:start w:val="1"/>
      <w:numFmt w:val="decimal"/>
      <w:lvlText w:val="%7."/>
      <w:lvlJc w:val="left"/>
      <w:pPr>
        <w:ind w:left="5040" w:hanging="360"/>
      </w:pPr>
    </w:lvl>
    <w:lvl w:ilvl="7" w:tplc="4E2AF73A" w:tentative="1">
      <w:start w:val="1"/>
      <w:numFmt w:val="lowerLetter"/>
      <w:lvlText w:val="%8."/>
      <w:lvlJc w:val="left"/>
      <w:pPr>
        <w:ind w:left="5760" w:hanging="360"/>
      </w:pPr>
    </w:lvl>
    <w:lvl w:ilvl="8" w:tplc="04022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84C6F8A"/>
    <w:multiLevelType w:val="hybridMultilevel"/>
    <w:tmpl w:val="891EB3F0"/>
    <w:lvl w:ilvl="0" w:tplc="5ADC1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AF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61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AE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07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FA0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A6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68F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A6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C985FA8"/>
    <w:multiLevelType w:val="hybridMultilevel"/>
    <w:tmpl w:val="FD1A9CFC"/>
    <w:lvl w:ilvl="0" w:tplc="2A7EB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2A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1C6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48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CF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E1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65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C4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0B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0506F"/>
    <w:multiLevelType w:val="hybridMultilevel"/>
    <w:tmpl w:val="5E7AC658"/>
    <w:lvl w:ilvl="0" w:tplc="D1F2D990">
      <w:numFmt w:val="bullet"/>
      <w:lvlText w:val="‒"/>
      <w:lvlJc w:val="left"/>
      <w:pPr>
        <w:ind w:left="720" w:hanging="360"/>
      </w:pPr>
      <w:rPr>
        <w:rFonts w:ascii="Arial" w:hAnsi="Arial" w:hint="default"/>
        <w:sz w:val="16"/>
      </w:rPr>
    </w:lvl>
    <w:lvl w:ilvl="1" w:tplc="F46A0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B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68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24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E6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8F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64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E8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FD325A5"/>
    <w:multiLevelType w:val="hybridMultilevel"/>
    <w:tmpl w:val="5C6AB65C"/>
    <w:lvl w:ilvl="0" w:tplc="9BFA6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6EEF32" w:tentative="1">
      <w:start w:val="1"/>
      <w:numFmt w:val="lowerLetter"/>
      <w:lvlText w:val="%2."/>
      <w:lvlJc w:val="left"/>
      <w:pPr>
        <w:ind w:left="1440" w:hanging="360"/>
      </w:pPr>
    </w:lvl>
    <w:lvl w:ilvl="2" w:tplc="D7C2CCDA" w:tentative="1">
      <w:start w:val="1"/>
      <w:numFmt w:val="lowerRoman"/>
      <w:lvlText w:val="%3."/>
      <w:lvlJc w:val="right"/>
      <w:pPr>
        <w:ind w:left="2160" w:hanging="180"/>
      </w:pPr>
    </w:lvl>
    <w:lvl w:ilvl="3" w:tplc="6BC254F2" w:tentative="1">
      <w:start w:val="1"/>
      <w:numFmt w:val="decimal"/>
      <w:lvlText w:val="%4."/>
      <w:lvlJc w:val="left"/>
      <w:pPr>
        <w:ind w:left="2880" w:hanging="360"/>
      </w:pPr>
    </w:lvl>
    <w:lvl w:ilvl="4" w:tplc="23F49330" w:tentative="1">
      <w:start w:val="1"/>
      <w:numFmt w:val="lowerLetter"/>
      <w:lvlText w:val="%5."/>
      <w:lvlJc w:val="left"/>
      <w:pPr>
        <w:ind w:left="3600" w:hanging="360"/>
      </w:pPr>
    </w:lvl>
    <w:lvl w:ilvl="5" w:tplc="2A60197C" w:tentative="1">
      <w:start w:val="1"/>
      <w:numFmt w:val="lowerRoman"/>
      <w:lvlText w:val="%6."/>
      <w:lvlJc w:val="right"/>
      <w:pPr>
        <w:ind w:left="4320" w:hanging="180"/>
      </w:pPr>
    </w:lvl>
    <w:lvl w:ilvl="6" w:tplc="FD6EF28E" w:tentative="1">
      <w:start w:val="1"/>
      <w:numFmt w:val="decimal"/>
      <w:lvlText w:val="%7."/>
      <w:lvlJc w:val="left"/>
      <w:pPr>
        <w:ind w:left="5040" w:hanging="360"/>
      </w:pPr>
    </w:lvl>
    <w:lvl w:ilvl="7" w:tplc="E384C41E" w:tentative="1">
      <w:start w:val="1"/>
      <w:numFmt w:val="lowerLetter"/>
      <w:lvlText w:val="%8."/>
      <w:lvlJc w:val="left"/>
      <w:pPr>
        <w:ind w:left="5760" w:hanging="360"/>
      </w:pPr>
    </w:lvl>
    <w:lvl w:ilvl="8" w:tplc="609498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17"/>
  </w:num>
  <w:num w:numId="14">
    <w:abstractNumId w:val="29"/>
  </w:num>
  <w:num w:numId="15">
    <w:abstractNumId w:val="28"/>
  </w:num>
  <w:num w:numId="16">
    <w:abstractNumId w:val="12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6"/>
  </w:num>
  <w:num w:numId="21">
    <w:abstractNumId w:val="23"/>
  </w:num>
  <w:num w:numId="22">
    <w:abstractNumId w:val="22"/>
  </w:num>
  <w:num w:numId="23">
    <w:abstractNumId w:val="13"/>
  </w:num>
  <w:num w:numId="24">
    <w:abstractNumId w:val="19"/>
  </w:num>
  <w:num w:numId="25">
    <w:abstractNumId w:val="24"/>
  </w:num>
  <w:num w:numId="26">
    <w:abstractNumId w:val="20"/>
  </w:num>
  <w:num w:numId="27">
    <w:abstractNumId w:val="2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9"/>
  </w:num>
  <w:num w:numId="32">
    <w:abstractNumId w:val="11"/>
  </w:num>
  <w:num w:numId="33">
    <w:abstractNumId w:val="19"/>
  </w:num>
  <w:num w:numId="34">
    <w:abstractNumId w:val="19"/>
  </w:num>
  <w:num w:numId="35">
    <w:abstractNumId w:val="14"/>
  </w:num>
  <w:num w:numId="36">
    <w:abstractNumId w:val="27"/>
  </w:num>
  <w:num w:numId="37">
    <w:abstractNumId w:val="19"/>
  </w:num>
  <w:num w:numId="38">
    <w:abstractNumId w:val="15"/>
  </w:num>
  <w:num w:numId="39">
    <w:abstractNumId w:val="1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s3011iis001pg68.sta.be.ch\TextBase TMs\Canton de Berne\ComBE|s3011iis001pg68.sta.be.ch\TextBase TMs\Canton de Berne\Dubious_Aliens|s3011iis001pg68.sta.be.ch\TextBase TMs\CHA\CHA_valide|s3011iis001pg68.sta.be.ch\TextBase TMs\ECO\ECO_valide|s3011iis001pg68.sta.be.ch\TextBase TMs\FIN SG\FIN-SG_valide|s3011iis001pg68.sta.be.ch\TextBase TMs\FIN-ICI\FIN-ICI_valide|s3011iis001pg68.sta.be.ch\TextBase TMs\INS\INS_valide|s3011iis001pg68.sta.be.ch\TextBase TMs\Police\Police_interne|s3011iis001pg68.sta.be.ch\TextBase TMs\Police\Police_valide|s3011iis001pg68.sta.be.ch\TextBase TMs\POM\POM_interne|s3011iis001pg68.sta.be.ch\TextBase TMs\POM\POM_valide|s3011iis001pg68.sta.be.ch\TextBase TMs\SAP\SAP_valide|s3011iis001pg68.sta.be.ch\TextBase TMs\TTE\TTE_valide|s3011iis001pg68.sta.be.ch\TextBase TMs\Canton de Berne\BELEX 2016 (LexWork)|s3011iis001pg68.sta.be.ch\TextBase TMs\Processus cantonaux\Processus cantonaux 2017|s3011iis001pg68.sta.be.ch\TextBase TMs\Processus cantonaux\Processus cantonaux 2018|s3011iis001pg68.sta.be.ch\TextBase TMs\POM\POM_Temporaire|s3011iis001pg68.sta.be.ch\TextBase TMs\Canton de Berne\Canton de Berne|s3011iis001pg68.sta.be.ch\TextBase TMs\Processus cantonaux\Processus cantonaux 2019|s3011iis001pg68.sta.be.ch\TextBase TMs\Canton de Berne\BELEX_Historique|s3011iis001pg68.sta.be.ch\TextBase TMs\Canton de Berne\Conf_2019-12|s3011iis001pg68.sta.be.ch\TextBase TMs\DEEE\DEEE_valide|s3011iis001pg68.sta.be.ch\TextBase TMs\DIJ\DIJ_valide|s3011iis001pg68.sta.be.ch\TextBase TMs\DSE\DSE_interne|s3011iis001pg68.sta.be.ch\TextBase TMs\DSE\DSE_valide|s3011iis001pg68.sta.be.ch\TextBase TMs\DSSI\DSSI_valide|s3011iis001pg68.sta.be.ch\TextBase TMs\DTT\DTT_valide|s3011iis001pg68.sta.be.ch\TextBase TMs\INC\INC_valide|s3011iis001pg68.sta.be.ch\TextBase TMs\Canton de Berne\BSIG|s3011iis001pg68.sta.be.ch\TextBase TMs\DSE\DSE_temporaire"/>
    <w:docVar w:name="TextBaseURL" w:val="empty"/>
    <w:docVar w:name="UILng" w:val="fr"/>
  </w:docVars>
  <w:rsids>
    <w:rsidRoot w:val="006658B8"/>
    <w:rsid w:val="006658B8"/>
    <w:rsid w:val="00EF645E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table" w:customStyle="1" w:styleId="KantonTab2">
    <w:name w:val="Kanton_Tab2"/>
    <w:basedOn w:val="NormaleTabelle"/>
    <w:uiPriority w:val="99"/>
    <w:rsid w:val="007D649C"/>
    <w:pPr>
      <w:spacing w:after="0" w:line="240" w:lineRule="auto"/>
    </w:pPr>
    <w:rPr>
      <w:rFonts w:cstheme="minorBidi"/>
    </w:rPr>
    <w:tblPr>
      <w:tblCellMar>
        <w:left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F42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42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4244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4244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4244"/>
    <w:rPr>
      <w:rFonts w:cs="System"/>
      <w:b/>
      <w:bCs/>
      <w:spacing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table" w:customStyle="1" w:styleId="KantonTab2">
    <w:name w:val="Kanton_Tab2"/>
    <w:basedOn w:val="NormaleTabelle"/>
    <w:uiPriority w:val="99"/>
    <w:rsid w:val="007D649C"/>
    <w:pPr>
      <w:spacing w:after="0" w:line="240" w:lineRule="auto"/>
    </w:pPr>
    <w:rPr>
      <w:rFonts w:cstheme="minorBidi"/>
    </w:rPr>
    <w:tblPr>
      <w:tblCellMar>
        <w:left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F42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42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4244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4244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4244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0d5df5e3831449e08169ee878b70ac5e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80280D5-7A5F-4F8C-9DC2-9E856BE9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2</Pages>
  <Words>634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Leistungsauftrag_ZSO_NTP_BE-fr</vt:lpstr>
      <vt:lpstr>Leistungsauftrag_ZSO_NTP_BE-fr</vt:lpstr>
    </vt:vector>
  </TitlesOfParts>
  <Company>Kanton Bern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Leistungsauftrag_ZSO_NTP_BE-fr</dc:title>
  <dc:creator>Mangiarratti Daniela</dc:creator>
  <cp:lastModifiedBy>Mangiarratti Daniela</cp:lastModifiedBy>
  <cp:revision>3</cp:revision>
  <cp:lastPrinted>2019-09-11T20:00:00Z</cp:lastPrinted>
  <dcterms:created xsi:type="dcterms:W3CDTF">2021-01-08T15:15:00Z</dcterms:created>
  <dcterms:modified xsi:type="dcterms:W3CDTF">2021-01-08T15:24:00Z</dcterms:modified>
</cp:coreProperties>
</file>